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Управление образования администрации г. Хабаровска</w:t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МАДОУ «Центр развития ребёнка – детский сад №167 «Родничок»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Консультация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для родителей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>по теме: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i/>
          <w:sz w:val="72"/>
          <w:szCs w:val="72"/>
        </w:rPr>
        <w:t>«</w:t>
      </w:r>
      <w:r>
        <w:rPr>
          <w:rFonts w:ascii="Times New Roman" w:cs="Times New Roman" w:eastAsia="Times New Roman" w:hAnsi="Times New Roman"/>
          <w:b/>
          <w:bCs/>
          <w:i/>
          <w:color w:val="0070C0"/>
          <w:sz w:val="80"/>
          <w:szCs w:val="80"/>
          <w:lang w:eastAsia="ru-RU"/>
        </w:rPr>
        <w:t>Подвижная игра для детей младшего возраста.</w:t>
      </w:r>
      <w:r>
        <w:rPr>
          <w:rFonts w:ascii="Times New Roman" w:cs="Times New Roman" w:hAnsi="Times New Roman"/>
          <w:b/>
          <w:i/>
          <w:sz w:val="72"/>
          <w:szCs w:val="72"/>
        </w:rPr>
        <w:t>»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Составил: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О. Л. Дудар,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воспитатель.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2017 г.</w:t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firstLine="284" w:left="142" w:right="141"/>
        <w:contextualSpacing w:val="false"/>
        <w:jc w:val="center"/>
      </w:pPr>
      <w:r>
        <w:rPr>
          <w:rFonts w:ascii="Monotype Corsiva" w:cs="Times New Roman" w:eastAsia="Times New Roman" w:hAnsi="Monotype Corsiva"/>
          <w:color w:val="FF0000"/>
          <w:sz w:val="32"/>
          <w:szCs w:val="32"/>
          <w:lang w:eastAsia="ru-RU"/>
        </w:rPr>
        <w:t xml:space="preserve">Уважаемые Родители! 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Подвижная игра для вашего ребенка – это маленькая сказка. В этой сказке ребенок не только вживается в роль, он живет этой ролью на протяжении всей игры. Испытывает бурю положительных эмоций, закрепляет двигательные навыки и умения. В этом  возрасте  следует играть в следующие подвижные игры: игры с бегом, игры с прыжками, игры с мячом, игры с обручем, словесные игры, игры-эстафеты, игровые поединки. Предлагаю  вам поиграть дома с ребенком в игру с бегом «Не боимся мы кота». Заинтересовать   ребенка   можно  сюрпризным моментом. Приобретите игрушки: мышку или кошку. Загадайте  про  одного  из них загадку. Например: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«Мохнатенькая, усатенькая, 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Молочко пьет, песенки поет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Мягкие лапки, а в лапках –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Цап -царапки» (Кошка)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«Под полом таится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Кошки боится» (Мышка) 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Отгадав загадку, подарите ребенку игрушку и предложите ему эту роль в игре.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Если ребенок кот, он садится на пол и спит. Вы говорите слова: 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«Мышки, мышки, выходите,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Порезвитесь, попляшите,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Выходите поскорей –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Спит  усатый кот - злодей! »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В это время вы входите в образ мышей, приплясывая, окружаете кота со словами песенки: «Тра-та-та, тра-та-та – не боимся мы кота !».</w:t>
      </w:r>
    </w:p>
    <w:p>
      <w:pPr>
        <w:pStyle w:val="style0"/>
        <w:spacing w:after="0" w:before="0" w:line="100" w:lineRule="atLeast"/>
        <w:ind w:firstLine="284" w:left="142" w:right="141"/>
        <w:contextualSpacing w:val="false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После  исполнения песенки , ребенок в роли кота просыпается, громко мяукает. Вы убегаете, ребенок старается вас поймать. Кого ребенок  запятнает (коснется рукой), тот становится добычей. Игра  продолжается. После второго выхода кота на охоту, меняетесь ролями.</w:t>
      </w:r>
    </w:p>
    <w:p>
      <w:pPr>
        <w:pStyle w:val="style0"/>
        <w:spacing w:line="100" w:lineRule="atLeast"/>
        <w:ind w:firstLine="284" w:left="142" w:right="141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В эту игру может играть вся семья, гости. Прежде чем провести  игру , нужно предусмотреть следующее: место проведения, необходимый инвентарь (игрушка, так же можно сделать шапочку кота или мышки). Объясняя  ребенку содержание и правила игры, встаньте так, чтобы вас выло видно и слышно. Говорите четко, кратко и понятно. Если ребенок не понял , покажите, как надо действовать, продемонстрируйте отдельные этапы игры.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a"/>
    <w:basedOn w:val="style0"/>
    <w:next w:val="style2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2013-04-09T00:35:00.00Z</dcterms:created>
  <dc:creator>Мастак</dc:creator>
  <cp:lastModifiedBy>Мастак</cp:lastModifiedBy>
  <dcterms:modified xsi:type="dcterms:W3CDTF">2013-04-09T00:36:00.00Z</dcterms:modified>
  <cp:revision>1</cp:revision>
</cp:coreProperties>
</file>